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ascii="Verdana" w:hAnsi="Verdana" w:cs="Verdana"/>
          <w:i w:val="0"/>
          <w:iCs w:val="0"/>
          <w:caps w:val="0"/>
          <w:color w:val="333333"/>
          <w:spacing w:val="0"/>
          <w:sz w:val="32"/>
          <w:szCs w:val="32"/>
        </w:rPr>
      </w:pPr>
      <w:r>
        <w:rPr>
          <w:rFonts w:ascii="方正黑体_GBK" w:hAnsi="方正黑体_GBK" w:eastAsia="方正黑体_GBK" w:cs="方正黑体_GBK"/>
          <w:i w:val="0"/>
          <w:iCs w:val="0"/>
          <w:caps w:val="0"/>
          <w:color w:val="333333"/>
          <w:spacing w:val="0"/>
          <w:sz w:val="32"/>
          <w:szCs w:val="32"/>
          <w:bdr w:val="none" w:color="auto" w:sz="0" w:space="0"/>
          <w:shd w:val="clear" w:fill="FFFFFF"/>
        </w:rPr>
        <w:t>附件</w:t>
      </w:r>
      <w:r>
        <w:rPr>
          <w:rFonts w:hint="default" w:ascii="Times New Roman" w:hAnsi="Times New Roman" w:eastAsia="方正黑体_GBK" w:cs="Times New Roman"/>
          <w:i w:val="0"/>
          <w:iCs w:val="0"/>
          <w:caps w:val="0"/>
          <w:color w:val="333333"/>
          <w:spacing w:val="0"/>
          <w:sz w:val="32"/>
          <w:szCs w:val="32"/>
          <w:bdr w:val="none" w:color="auto" w:sz="0" w:space="0"/>
          <w:shd w:val="clear" w:fill="FFFFFF"/>
        </w:rPr>
        <w:t>2</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default" w:ascii="Verdana" w:hAnsi="Verdana" w:cs="Verdana"/>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i w:val="0"/>
          <w:iCs w:val="0"/>
          <w:caps w:val="0"/>
          <w:color w:val="333333"/>
          <w:spacing w:val="0"/>
          <w:sz w:val="32"/>
          <w:szCs w:val="32"/>
        </w:rPr>
      </w:pPr>
      <w:r>
        <w:rPr>
          <w:rFonts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i w:val="0"/>
          <w:iCs w:val="0"/>
          <w:caps w:val="0"/>
          <w:color w:val="333333"/>
          <w:spacing w:val="0"/>
          <w:sz w:val="32"/>
          <w:szCs w:val="32"/>
        </w:rPr>
      </w:pPr>
      <w:r>
        <w:rPr>
          <w:rFonts w:hint="eastAsia"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中特理论项目申报说明和选题指南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960"/>
        <w:jc w:val="left"/>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5"/>
        <w:jc w:val="both"/>
        <w:textAlignment w:val="center"/>
        <w:rPr>
          <w:rFonts w:hint="default" w:ascii="Times New Roman" w:hAnsi="Times New Roman" w:cs="Times New Roman"/>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一、申报说明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5"/>
        <w:jc w:val="both"/>
        <w:textAlignment w:val="center"/>
        <w:rPr>
          <w:rFonts w:hint="default" w:ascii="Times New Roman" w:hAnsi="Times New Roman" w:cs="Times New Roman"/>
          <w:i w:val="0"/>
          <w:iCs w:val="0"/>
          <w:caps w:val="0"/>
          <w:color w:val="333333"/>
          <w:spacing w:val="0"/>
          <w:sz w:val="32"/>
          <w:szCs w:val="32"/>
        </w:rPr>
      </w:pPr>
      <w:r>
        <w:rPr>
          <w:rFonts w:ascii="方正楷体_GBK" w:hAnsi="方正楷体_GBK" w:eastAsia="方正楷体_GBK" w:cs="方正楷体_GBK"/>
          <w:i w:val="0"/>
          <w:iCs w:val="0"/>
          <w:caps w:val="0"/>
          <w:color w:val="333333"/>
          <w:spacing w:val="0"/>
          <w:kern w:val="0"/>
          <w:sz w:val="32"/>
          <w:szCs w:val="32"/>
          <w:bdr w:val="none" w:color="auto" w:sz="0" w:space="0"/>
          <w:shd w:val="clear" w:fill="FFFFFF"/>
          <w:lang w:val="en-US" w:eastAsia="zh-CN" w:bidi="ar"/>
        </w:rPr>
        <w:t>（一）选题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．“选题指南”中重大（</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1-3</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题）和重点（</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4-13</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题）项目选题条目，原则上实行原题申报。一般项目可根据相关选题指南为研究方向，进一步深化选题。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．自选题申报应围绕学习贯彻党的十九届六中全会精神、</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2022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年全国“两会”精神、市委五届十一次全会精神等开展研究，鼓励重点围绕习近平新时代中国特色社会主义思想的新内涵新概括、习近平总书记对重庆所作重要讲话和系列重要指示批示精神的学理性阐释和实践经验总结等开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5"/>
        <w:jc w:val="both"/>
        <w:textAlignment w:val="center"/>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3</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．申报题目的表述应科学、严谨、规范、简明，一般不加副标题。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5"/>
        <w:jc w:val="both"/>
        <w:textAlignment w:val="center"/>
        <w:rPr>
          <w:rFonts w:hint="default" w:ascii="Times New Roman" w:hAnsi="Times New Roman" w:cs="Times New Roman"/>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shd w:val="clear" w:fill="FFFFFF"/>
          <w:lang w:val="en-US" w:eastAsia="zh-CN" w:bidi="ar"/>
        </w:rPr>
        <w:t>（二）项目类型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5"/>
        <w:jc w:val="both"/>
        <w:textAlignment w:val="center"/>
        <w:rPr>
          <w:rFonts w:hint="default" w:ascii="Times New Roman" w:hAnsi="Times New Roman" w:cs="Times New Roman"/>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包括重大项目、重点项目和一般项目。不单设青年项目，一般项目将适当向青年学者倾斜。原则上应为理论类研究项目。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5"/>
        <w:jc w:val="both"/>
        <w:textAlignment w:val="center"/>
        <w:rPr>
          <w:rFonts w:hint="default" w:ascii="Times New Roman" w:hAnsi="Times New Roman" w:cs="Times New Roman"/>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shd w:val="clear" w:fill="FFFFFF"/>
          <w:lang w:val="en-US" w:eastAsia="zh-CN" w:bidi="ar"/>
        </w:rPr>
        <w:t>（三）项目申请人的条件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5"/>
        <w:jc w:val="both"/>
        <w:textAlignment w:val="center"/>
        <w:rPr>
          <w:rFonts w:hint="default" w:ascii="Times New Roman" w:hAnsi="Times New Roman" w:cs="Times New Roman"/>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项目申请人的基本条件应符合《重庆市社会科学规划项目管理办法》及本申报通知有关规定。为鼓励和支持更多优秀专家学者积极申报中特理论项目，此次中特理论项目对申请人是否有在研社科规划项目不做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5"/>
        <w:jc w:val="both"/>
        <w:textAlignment w:val="center"/>
        <w:rPr>
          <w:rFonts w:hint="default" w:ascii="Times New Roman" w:hAnsi="Times New Roman" w:cs="Times New Roman"/>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shd w:val="clear" w:fill="FFFFFF"/>
          <w:lang w:val="en-US" w:eastAsia="zh-CN" w:bidi="ar"/>
        </w:rPr>
        <w:t>（四）预期成果形式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5"/>
        <w:jc w:val="both"/>
        <w:textAlignment w:val="center"/>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A</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学术专著；</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B</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研究报告；</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C</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研究报告（或学术专著）</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“三报一刊”理论文章。选择其中一类申报。“三报一刊”系指《人民日报》《光明日报》《经济日报》《求是》。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5"/>
        <w:jc w:val="both"/>
        <w:textAlignment w:val="center"/>
        <w:rPr>
          <w:rFonts w:hint="default" w:ascii="Times New Roman" w:hAnsi="Times New Roman" w:cs="Times New Roman"/>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联系电话：</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67992761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5"/>
        <w:jc w:val="both"/>
        <w:textAlignment w:val="center"/>
        <w:rPr>
          <w:rFonts w:hint="default" w:ascii="Times New Roman" w:hAnsi="Times New Roman" w:cs="Times New Roman"/>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联系地址：重庆市江北区桥北村</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270</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号重庆市中国特色社会主义理论体系研究中心秘书处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二、选题指南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．习近平总书记对重庆重要指示要求对新时代党的创新理论的原创性贡献研究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．践行习近平总书记对重庆重要指示要求的经验总结与启示研究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3</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iCs w:val="0"/>
          <w:caps w:val="0"/>
          <w:color w:val="333333"/>
          <w:spacing w:val="-6"/>
          <w:kern w:val="0"/>
          <w:sz w:val="32"/>
          <w:szCs w:val="32"/>
          <w:bdr w:val="none" w:color="auto" w:sz="0" w:space="0"/>
          <w:shd w:val="clear" w:fill="FFFFFF"/>
          <w:lang w:val="en-US" w:eastAsia="zh-CN" w:bidi="ar"/>
        </w:rPr>
        <w:t>重庆努力发挥“三个作用”推动高质量发展实践探索研究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4</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．“两个确立”的决定性意义和实践要求研究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5</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．中国共产党第三个历史决议与“归根到底是马克思主义行”研究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6</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．习近平关于尊重和保障人权重要论述的原创性贡献研究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7</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．习近平总书记关于人类卫生健康共同体重要论述研究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8</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．乡村产业振兴促进农民农村共同富裕实现路径研究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9</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．成渝地区双城经济圈建设成效评估研究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10</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．内陆开放理论建构与重庆实践研究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11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．历史主动精神的哲学阐释研究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12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．意识形态领域热点舆情动态跟踪研究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13</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．新时代社会主义精神文明建设研究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14</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．习近平关于注重家庭家教家风建设重要论述研究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15</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．新时代中国特色社会主义公平正义理论内涵研究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16</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．中国共产党斗争精神的历史演进及基本经验研究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17</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．中国共产党人精神谱系融入高校思想政治教育研究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18</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．坚持党对经济工作的领导与中国特色社会主义基本经济制度研究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19</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．新发展格局下推动开放型经济高质量发展研究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20</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．要素市场化配置综合改革推动经济高质量发展机制研究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．发展全过程人民民主的制度建设途径研究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．新时代筑牢优秀年轻干部初心使命长效机制研究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23</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．网络空间马克思主义话语权建构研究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24</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．新时代提升中国特色社会主义国际话语权研究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25</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．精神生活共同富裕丰富内涵及评价体系研究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26</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．网络强国视阈下网络文化综合治理体系研究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27</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．数字乡村建设推动农村治理现代化研究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28</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．乡村振兴视域下政府引导农民工返乡就业技能培训研究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29</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．“双碳”背景下中国的国家利益实现问题研究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30</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．中国特色大国外交服务民族复兴的使命与路径研究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31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．重庆持续营造良好政治生态研究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32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．重庆数字经济发展指标体系研究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33</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．健全“一区两群”数字产业协同发展机制研究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34</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．重庆市数字人才评价体系建设与高质量发展策略研究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35</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．红岩精神与重庆文化研究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default" w:ascii="Verdana" w:hAnsi="Verdana" w:cs="Verdana"/>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36</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．红岩精神对当代大学生的价值引领机制研究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ZGMyNGRhZWQ2ODc3MDY2ZmI2ZmFiNjhlN2FmODEifQ=="/>
  </w:docVars>
  <w:rsids>
    <w:rsidRoot w:val="341C7A89"/>
    <w:rsid w:val="1D7C1D28"/>
    <w:rsid w:val="341C7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5473</Words>
  <Characters>5938</Characters>
  <Lines>0</Lines>
  <Paragraphs>0</Paragraphs>
  <TotalTime>1</TotalTime>
  <ScaleCrop>false</ScaleCrop>
  <LinksUpToDate>false</LinksUpToDate>
  <CharactersWithSpaces>5946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2022-04-28T09:23:00Z</dcterms:created>
  <dc:creator>Administrator</dc:creator>
  <cp:lastModifiedBy>Administrator</cp:lastModifiedBy>
  <dcterms:modified xsi:type="dcterms:W3CDTF">2022-04-28T09:24:37Z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AC43A455035346C6B7251057D2140AFE</vt:lpwstr>
  </property>
</Properties>
</file>